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4C5F" w14:textId="77777777" w:rsidR="00BC284A" w:rsidRDefault="00BC284A" w:rsidP="00BC284A">
      <w:pPr>
        <w:pStyle w:val="Title"/>
        <w:ind w:left="720"/>
        <w:rPr>
          <w:b/>
          <w:bCs/>
          <w:sz w:val="52"/>
          <w:szCs w:val="52"/>
        </w:rPr>
      </w:pPr>
    </w:p>
    <w:p w14:paraId="69DC0B78" w14:textId="0DC2B428" w:rsidR="00862FE0" w:rsidRPr="00276B93" w:rsidRDefault="009F7D84" w:rsidP="00BC284A">
      <w:pPr>
        <w:pStyle w:val="Title"/>
        <w:ind w:left="720"/>
      </w:pPr>
      <w:r w:rsidRPr="00276B93">
        <w:t>Dysphagia in COVID</w:t>
      </w:r>
      <w:r w:rsidR="00BC284A">
        <w:t>-</w:t>
      </w:r>
      <w:r w:rsidRPr="00276B93">
        <w:t xml:space="preserve">19 </w:t>
      </w:r>
      <w:r w:rsidR="00BC284A">
        <w:t>P</w:t>
      </w:r>
      <w:r w:rsidRPr="00276B93">
        <w:t>atients</w:t>
      </w:r>
    </w:p>
    <w:p w14:paraId="0CE00E0A" w14:textId="77777777" w:rsidR="00BC284A" w:rsidRDefault="00BC284A" w:rsidP="00862FE0">
      <w:pPr>
        <w:rPr>
          <w:rFonts w:cstheme="minorHAnsi"/>
        </w:rPr>
      </w:pPr>
    </w:p>
    <w:p w14:paraId="39B0F39B" w14:textId="38D4C54B" w:rsidR="00862FE0" w:rsidRPr="00276B93" w:rsidRDefault="009F7D84" w:rsidP="00862FE0">
      <w:pPr>
        <w:rPr>
          <w:rFonts w:cstheme="minorHAnsi"/>
        </w:rPr>
      </w:pPr>
      <w:r w:rsidRPr="00276B93">
        <w:rPr>
          <w:rFonts w:cstheme="minorHAnsi"/>
        </w:rPr>
        <w:t>Severe acute respiratory syndrome coronavirus 2 (SARS</w:t>
      </w:r>
      <w:r w:rsidR="00D856B6">
        <w:rPr>
          <w:rFonts w:cstheme="minorHAnsi"/>
        </w:rPr>
        <w:t>-</w:t>
      </w:r>
      <w:r w:rsidRPr="00276B93">
        <w:rPr>
          <w:rFonts w:cstheme="minorHAnsi"/>
        </w:rPr>
        <w:t>CoV</w:t>
      </w:r>
      <w:r w:rsidR="00D856B6">
        <w:rPr>
          <w:rFonts w:cstheme="minorHAnsi"/>
        </w:rPr>
        <w:t>-</w:t>
      </w:r>
      <w:r w:rsidRPr="00276B93">
        <w:rPr>
          <w:rFonts w:cstheme="minorHAnsi"/>
        </w:rPr>
        <w:t>2)</w:t>
      </w:r>
      <w:r w:rsidR="00D856B6">
        <w:rPr>
          <w:rFonts w:cstheme="minorHAnsi"/>
        </w:rPr>
        <w:t>, the causative agent of COVID-19,</w:t>
      </w:r>
      <w:r w:rsidRPr="00276B93">
        <w:rPr>
          <w:rFonts w:cstheme="minorHAnsi"/>
        </w:rPr>
        <w:t xml:space="preserve"> after entering the body</w:t>
      </w:r>
      <w:r w:rsidR="00D856B6">
        <w:rPr>
          <w:rFonts w:cstheme="minorHAnsi"/>
        </w:rPr>
        <w:t>,</w:t>
      </w:r>
      <w:r w:rsidRPr="00276B93">
        <w:rPr>
          <w:rFonts w:cstheme="minorHAnsi"/>
        </w:rPr>
        <w:t xml:space="preserve"> can cause mild asymptomatic disease to severe acute respiratory distress syndrome </w:t>
      </w:r>
      <w:r w:rsidR="00D856B6">
        <w:rPr>
          <w:rFonts w:cstheme="minorHAnsi"/>
        </w:rPr>
        <w:t xml:space="preserve">(ARDS) </w:t>
      </w:r>
      <w:r w:rsidRPr="00276B93">
        <w:rPr>
          <w:rFonts w:cstheme="minorHAnsi"/>
        </w:rPr>
        <w:t>resulting in dyspnea</w:t>
      </w:r>
      <w:r w:rsidR="00D856B6">
        <w:rPr>
          <w:rFonts w:cstheme="minorHAnsi"/>
        </w:rPr>
        <w:t xml:space="preserve"> and</w:t>
      </w:r>
      <w:r w:rsidRPr="00276B93">
        <w:rPr>
          <w:rFonts w:cstheme="minorHAnsi"/>
        </w:rPr>
        <w:t xml:space="preserve"> apnea, eventually</w:t>
      </w:r>
      <w:r w:rsidR="00D856B6">
        <w:rPr>
          <w:rFonts w:cstheme="minorHAnsi"/>
        </w:rPr>
        <w:t xml:space="preserve"> requiring</w:t>
      </w:r>
      <w:r w:rsidRPr="00276B93">
        <w:rPr>
          <w:rFonts w:cstheme="minorHAnsi"/>
        </w:rPr>
        <w:t xml:space="preserve"> respiratory support. </w:t>
      </w:r>
      <w:r w:rsidR="00663825">
        <w:rPr>
          <w:rFonts w:cstheme="minorHAnsi"/>
        </w:rPr>
        <w:t>Respiratory support measures</w:t>
      </w:r>
      <w:r w:rsidRPr="00276B93">
        <w:rPr>
          <w:rFonts w:cstheme="minorHAnsi"/>
        </w:rPr>
        <w:t xml:space="preserve"> may include endotracheal intubation</w:t>
      </w:r>
      <w:r w:rsidR="00663825">
        <w:rPr>
          <w:rFonts w:cstheme="minorHAnsi"/>
        </w:rPr>
        <w:t xml:space="preserve"> and</w:t>
      </w:r>
      <w:r w:rsidRPr="00276B93">
        <w:rPr>
          <w:rFonts w:cstheme="minorHAnsi"/>
        </w:rPr>
        <w:t xml:space="preserve"> mechanical ventilation</w:t>
      </w:r>
      <w:r w:rsidR="00663825">
        <w:rPr>
          <w:rFonts w:cstheme="minorHAnsi"/>
        </w:rPr>
        <w:t>. In addition,</w:t>
      </w:r>
      <w:r w:rsidRPr="00276B93">
        <w:rPr>
          <w:rFonts w:cstheme="minorHAnsi"/>
        </w:rPr>
        <w:t xml:space="preserve"> enteral </w:t>
      </w:r>
      <w:r w:rsidR="00663825">
        <w:rPr>
          <w:rFonts w:cstheme="minorHAnsi"/>
        </w:rPr>
        <w:t>feeding</w:t>
      </w:r>
      <w:r w:rsidRPr="00276B93">
        <w:rPr>
          <w:rFonts w:cstheme="minorHAnsi"/>
        </w:rPr>
        <w:t xml:space="preserve"> through a nasogastric tube</w:t>
      </w:r>
      <w:r w:rsidR="00663825">
        <w:rPr>
          <w:rFonts w:cstheme="minorHAnsi"/>
        </w:rPr>
        <w:t xml:space="preserve"> is required</w:t>
      </w:r>
      <w:r w:rsidRPr="00276B93">
        <w:rPr>
          <w:rFonts w:cstheme="minorHAnsi"/>
        </w:rPr>
        <w:t xml:space="preserve"> to provide adequate nutrition</w:t>
      </w:r>
      <w:r w:rsidR="00663825">
        <w:rPr>
          <w:rFonts w:cstheme="minorHAnsi"/>
        </w:rPr>
        <w:t xml:space="preserve"> to the patient</w:t>
      </w:r>
      <w:r w:rsidRPr="00276B93">
        <w:rPr>
          <w:rFonts w:cstheme="minorHAnsi"/>
        </w:rPr>
        <w:t xml:space="preserve">. All these interventions are important risk factors for dysphagia. The swallowing deficit may lead to aspiration </w:t>
      </w:r>
      <w:r w:rsidR="00663825" w:rsidRPr="00276B93">
        <w:rPr>
          <w:rFonts w:cstheme="minorHAnsi"/>
        </w:rPr>
        <w:t xml:space="preserve">and, </w:t>
      </w:r>
      <w:r w:rsidR="00663825">
        <w:rPr>
          <w:rFonts w:cstheme="minorHAnsi"/>
        </w:rPr>
        <w:t xml:space="preserve">consequently, </w:t>
      </w:r>
      <w:r w:rsidRPr="00276B93">
        <w:rPr>
          <w:rFonts w:cstheme="minorHAnsi"/>
        </w:rPr>
        <w:t>aspiration pneumonia</w:t>
      </w:r>
      <w:r w:rsidR="00663825">
        <w:rPr>
          <w:rFonts w:cstheme="minorHAnsi"/>
        </w:rPr>
        <w:t xml:space="preserve"> (</w:t>
      </w:r>
      <w:r w:rsidR="00663825" w:rsidRPr="00663825">
        <w:rPr>
          <w:rFonts w:cstheme="minorHAnsi"/>
          <w:i/>
          <w:iCs/>
        </w:rPr>
        <w:t>lung infection that develops following inhalation of food, liquid, or vomit into the lungs</w:t>
      </w:r>
      <w:r w:rsidR="00663825">
        <w:rPr>
          <w:rFonts w:cstheme="minorHAnsi"/>
        </w:rPr>
        <w:t>), resulting in</w:t>
      </w:r>
      <w:r w:rsidRPr="00276B93">
        <w:rPr>
          <w:rFonts w:cstheme="minorHAnsi"/>
        </w:rPr>
        <w:t xml:space="preserve"> an increased burden on </w:t>
      </w:r>
      <w:r w:rsidR="00663825">
        <w:rPr>
          <w:rFonts w:cstheme="minorHAnsi"/>
        </w:rPr>
        <w:t xml:space="preserve">the already </w:t>
      </w:r>
      <w:r w:rsidRPr="00276B93">
        <w:rPr>
          <w:rFonts w:cstheme="minorHAnsi"/>
        </w:rPr>
        <w:t>d</w:t>
      </w:r>
      <w:r w:rsidR="00AF5DBD">
        <w:rPr>
          <w:rFonts w:cstheme="minorHAnsi"/>
        </w:rPr>
        <w:t>amaged</w:t>
      </w:r>
      <w:r w:rsidRPr="00276B93">
        <w:rPr>
          <w:rFonts w:cstheme="minorHAnsi"/>
        </w:rPr>
        <w:t xml:space="preserve"> lungs.</w:t>
      </w:r>
    </w:p>
    <w:p w14:paraId="547E4232" w14:textId="3251C579" w:rsidR="00862FE0" w:rsidRPr="00663825" w:rsidRDefault="009F7D84" w:rsidP="00862FE0">
      <w:pPr>
        <w:rPr>
          <w:rFonts w:cstheme="minorHAnsi"/>
          <w:b/>
          <w:sz w:val="24"/>
          <w:szCs w:val="24"/>
        </w:rPr>
      </w:pPr>
      <w:r w:rsidRPr="00663825">
        <w:rPr>
          <w:rFonts w:cstheme="minorHAnsi"/>
          <w:b/>
          <w:sz w:val="24"/>
          <w:szCs w:val="24"/>
        </w:rPr>
        <w:t xml:space="preserve">Causes of </w:t>
      </w:r>
      <w:r w:rsidR="00663825">
        <w:rPr>
          <w:rFonts w:cstheme="minorHAnsi"/>
          <w:b/>
          <w:sz w:val="24"/>
          <w:szCs w:val="24"/>
        </w:rPr>
        <w:t>D</w:t>
      </w:r>
      <w:r w:rsidRPr="00663825">
        <w:rPr>
          <w:rFonts w:cstheme="minorHAnsi"/>
          <w:b/>
          <w:sz w:val="24"/>
          <w:szCs w:val="24"/>
        </w:rPr>
        <w:t xml:space="preserve">ysphagia in </w:t>
      </w:r>
      <w:r w:rsidR="00663825">
        <w:rPr>
          <w:rFonts w:cstheme="minorHAnsi"/>
          <w:b/>
          <w:sz w:val="24"/>
          <w:szCs w:val="24"/>
        </w:rPr>
        <w:t>COVID-</w:t>
      </w:r>
      <w:r w:rsidRPr="00663825">
        <w:rPr>
          <w:rFonts w:cstheme="minorHAnsi"/>
          <w:b/>
          <w:sz w:val="24"/>
          <w:szCs w:val="24"/>
        </w:rPr>
        <w:t xml:space="preserve">19 </w:t>
      </w:r>
      <w:r w:rsidR="00663825">
        <w:rPr>
          <w:rFonts w:cstheme="minorHAnsi"/>
          <w:b/>
          <w:sz w:val="24"/>
          <w:szCs w:val="24"/>
        </w:rPr>
        <w:t>P</w:t>
      </w:r>
      <w:r w:rsidRPr="00663825">
        <w:rPr>
          <w:rFonts w:cstheme="minorHAnsi"/>
          <w:b/>
          <w:sz w:val="24"/>
          <w:szCs w:val="24"/>
        </w:rPr>
        <w:t>atients</w:t>
      </w:r>
    </w:p>
    <w:p w14:paraId="0ABE5D8C" w14:textId="29BAFE0E" w:rsidR="00862FE0" w:rsidRPr="00276B93" w:rsidRDefault="009F7D84" w:rsidP="00862FE0">
      <w:pPr>
        <w:rPr>
          <w:rFonts w:cstheme="minorHAnsi"/>
        </w:rPr>
      </w:pPr>
      <w:r w:rsidRPr="00276B93">
        <w:rPr>
          <w:rFonts w:cstheme="minorHAnsi"/>
        </w:rPr>
        <w:t xml:space="preserve">Several </w:t>
      </w:r>
      <w:r w:rsidR="00AF5DBD">
        <w:rPr>
          <w:rFonts w:cstheme="minorHAnsi"/>
        </w:rPr>
        <w:t>factors</w:t>
      </w:r>
      <w:r w:rsidRPr="00276B93">
        <w:rPr>
          <w:rFonts w:cstheme="minorHAnsi"/>
        </w:rPr>
        <w:t xml:space="preserve"> play an important role in the development </w:t>
      </w:r>
      <w:r w:rsidR="00AF5DBD">
        <w:rPr>
          <w:rFonts w:cstheme="minorHAnsi"/>
        </w:rPr>
        <w:t xml:space="preserve">of </w:t>
      </w:r>
      <w:r w:rsidRPr="00276B93">
        <w:rPr>
          <w:rFonts w:cstheme="minorHAnsi"/>
        </w:rPr>
        <w:t>dysphagia in COVID</w:t>
      </w:r>
      <w:r w:rsidR="00AF5DBD">
        <w:rPr>
          <w:rFonts w:cstheme="minorHAnsi"/>
        </w:rPr>
        <w:t>-</w:t>
      </w:r>
      <w:r w:rsidRPr="00276B93">
        <w:rPr>
          <w:rFonts w:cstheme="minorHAnsi"/>
        </w:rPr>
        <w:t xml:space="preserve">19 patients. </w:t>
      </w:r>
    </w:p>
    <w:p w14:paraId="28A50394" w14:textId="77777777" w:rsidR="00AF5DBD" w:rsidRDefault="009F7D84" w:rsidP="00AF5DBD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276B93">
        <w:rPr>
          <w:rFonts w:cstheme="minorHAnsi"/>
          <w:b/>
        </w:rPr>
        <w:t>Trauma:</w:t>
      </w:r>
    </w:p>
    <w:p w14:paraId="51E85FD2" w14:textId="57E56D81" w:rsidR="00862FE0" w:rsidRPr="00AF5DBD" w:rsidRDefault="009F7D84" w:rsidP="00AF5DBD">
      <w:pPr>
        <w:pStyle w:val="ListParagraph"/>
        <w:rPr>
          <w:rFonts w:cstheme="minorHAnsi"/>
          <w:b/>
        </w:rPr>
      </w:pPr>
      <w:r w:rsidRPr="00AF5DBD">
        <w:rPr>
          <w:rFonts w:cstheme="minorHAnsi"/>
        </w:rPr>
        <w:t>The type of endotracheal tube used, duration</w:t>
      </w:r>
      <w:r w:rsidR="00AF5DBD">
        <w:rPr>
          <w:rFonts w:cstheme="minorHAnsi"/>
        </w:rPr>
        <w:t xml:space="preserve"> intubation lasted for</w:t>
      </w:r>
      <w:r w:rsidRPr="00AF5DBD">
        <w:rPr>
          <w:rFonts w:cstheme="minorHAnsi"/>
        </w:rPr>
        <w:t>, and</w:t>
      </w:r>
      <w:r w:rsidR="00AF5DBD">
        <w:rPr>
          <w:rFonts w:cstheme="minorHAnsi"/>
        </w:rPr>
        <w:t xml:space="preserve"> the</w:t>
      </w:r>
      <w:r w:rsidRPr="00AF5DBD">
        <w:rPr>
          <w:rFonts w:cstheme="minorHAnsi"/>
        </w:rPr>
        <w:t xml:space="preserve"> process itself can cause mechanical injuries. Endotracheal tube insertion might lead to any of the following:</w:t>
      </w:r>
    </w:p>
    <w:p w14:paraId="5AB0DCD8" w14:textId="015BA11A" w:rsidR="00862FE0" w:rsidRPr="00276B93" w:rsidRDefault="009F7D84" w:rsidP="00AF5DBD">
      <w:pPr>
        <w:pStyle w:val="ListParagraph"/>
        <w:numPr>
          <w:ilvl w:val="3"/>
          <w:numId w:val="5"/>
        </w:numPr>
        <w:rPr>
          <w:rFonts w:cstheme="minorHAnsi"/>
        </w:rPr>
      </w:pPr>
      <w:r w:rsidRPr="00276B93">
        <w:rPr>
          <w:rFonts w:cstheme="minorHAnsi"/>
        </w:rPr>
        <w:t>Injury to the lips may result in drooling of saliva.</w:t>
      </w:r>
    </w:p>
    <w:p w14:paraId="4E153757" w14:textId="77777777" w:rsidR="00862FE0" w:rsidRPr="00276B93" w:rsidRDefault="009F7D84" w:rsidP="00AF5DBD">
      <w:pPr>
        <w:pStyle w:val="ListParagraph"/>
        <w:numPr>
          <w:ilvl w:val="3"/>
          <w:numId w:val="5"/>
        </w:numPr>
        <w:rPr>
          <w:rFonts w:cstheme="minorHAnsi"/>
        </w:rPr>
      </w:pPr>
      <w:r w:rsidRPr="00276B93">
        <w:rPr>
          <w:rFonts w:cstheme="minorHAnsi"/>
        </w:rPr>
        <w:t>Patients with known dental diseases like periodontitis or dental carries can have their teeth damaged.</w:t>
      </w:r>
    </w:p>
    <w:p w14:paraId="1EF8DB86" w14:textId="0BDDD5B7" w:rsidR="00862FE0" w:rsidRPr="00276B93" w:rsidRDefault="009F7D84" w:rsidP="00AF5DBD">
      <w:pPr>
        <w:pStyle w:val="ListParagraph"/>
        <w:numPr>
          <w:ilvl w:val="3"/>
          <w:numId w:val="5"/>
        </w:numPr>
        <w:rPr>
          <w:rFonts w:cstheme="minorHAnsi"/>
        </w:rPr>
      </w:pPr>
      <w:r w:rsidRPr="00276B93">
        <w:rPr>
          <w:rFonts w:cstheme="minorHAnsi"/>
        </w:rPr>
        <w:t>Laryngeal edema is very commonly seen in patients after extubation. This impai</w:t>
      </w:r>
      <w:r w:rsidR="00AF5DBD">
        <w:rPr>
          <w:rFonts w:cstheme="minorHAnsi"/>
        </w:rPr>
        <w:t>rs</w:t>
      </w:r>
      <w:r w:rsidRPr="00276B93">
        <w:rPr>
          <w:rFonts w:cstheme="minorHAnsi"/>
        </w:rPr>
        <w:t xml:space="preserve"> the elevation of the hyolaryngeal complex and the laryngeal sphincter, subsequently increasing the risk of aspiration. </w:t>
      </w:r>
    </w:p>
    <w:p w14:paraId="4C0A7221" w14:textId="0997EB7B" w:rsidR="00862FE0" w:rsidRPr="00276B93" w:rsidRDefault="009F7D84" w:rsidP="00AF5DBD">
      <w:pPr>
        <w:pStyle w:val="ListParagraph"/>
        <w:numPr>
          <w:ilvl w:val="3"/>
          <w:numId w:val="5"/>
        </w:numPr>
        <w:rPr>
          <w:rFonts w:cstheme="minorHAnsi"/>
        </w:rPr>
      </w:pPr>
      <w:r w:rsidRPr="00276B93">
        <w:rPr>
          <w:rFonts w:cstheme="minorHAnsi"/>
        </w:rPr>
        <w:t xml:space="preserve">The area of vocal cords, arytenoids, epiglottis, and the base of the tongue can </w:t>
      </w:r>
      <w:r w:rsidR="00AF5DBD">
        <w:rPr>
          <w:rFonts w:cstheme="minorHAnsi"/>
        </w:rPr>
        <w:t>suffer</w:t>
      </w:r>
      <w:r w:rsidRPr="00276B93">
        <w:rPr>
          <w:rFonts w:cstheme="minorHAnsi"/>
        </w:rPr>
        <w:t xml:space="preserve"> mucosal abrasion, inflammation, hematomas, and ulcerations.</w:t>
      </w:r>
    </w:p>
    <w:p w14:paraId="47C93CA5" w14:textId="77777777" w:rsidR="00862FE0" w:rsidRPr="00276B93" w:rsidRDefault="009F7D84" w:rsidP="00AF5DBD">
      <w:pPr>
        <w:pStyle w:val="ListParagraph"/>
        <w:numPr>
          <w:ilvl w:val="3"/>
          <w:numId w:val="5"/>
        </w:numPr>
        <w:rPr>
          <w:rFonts w:cstheme="minorHAnsi"/>
        </w:rPr>
      </w:pPr>
      <w:r w:rsidRPr="00276B93">
        <w:rPr>
          <w:rFonts w:cstheme="minorHAnsi"/>
        </w:rPr>
        <w:t>Intubation may also result in dislocation and subluxation of the arytenoid cartilage, compromising the closure of the laryngeal vestibule.</w:t>
      </w:r>
    </w:p>
    <w:p w14:paraId="0E286BEC" w14:textId="24318967" w:rsidR="00862FE0" w:rsidRPr="00276B93" w:rsidRDefault="009F7D84" w:rsidP="00AF5DBD">
      <w:pPr>
        <w:pStyle w:val="ListParagraph"/>
        <w:numPr>
          <w:ilvl w:val="3"/>
          <w:numId w:val="5"/>
        </w:numPr>
        <w:rPr>
          <w:rFonts w:cstheme="minorHAnsi"/>
        </w:rPr>
      </w:pPr>
      <w:r w:rsidRPr="00276B93">
        <w:rPr>
          <w:rFonts w:cstheme="minorHAnsi"/>
        </w:rPr>
        <w:t>Sometimes</w:t>
      </w:r>
      <w:r w:rsidR="00AF5DBD">
        <w:rPr>
          <w:rFonts w:cstheme="minorHAnsi"/>
        </w:rPr>
        <w:t>,</w:t>
      </w:r>
      <w:r w:rsidRPr="00276B93">
        <w:rPr>
          <w:rFonts w:cstheme="minorHAnsi"/>
        </w:rPr>
        <w:t xml:space="preserve"> the recurrent laryngeal nerve may be injured by the endotracheal tube cuff. This results in vocal cord paresis. </w:t>
      </w:r>
    </w:p>
    <w:p w14:paraId="3FC0F861" w14:textId="03A23FB6" w:rsidR="00862FE0" w:rsidRDefault="009F7D84" w:rsidP="00AF5DBD">
      <w:pPr>
        <w:pStyle w:val="ListParagraph"/>
        <w:numPr>
          <w:ilvl w:val="3"/>
          <w:numId w:val="5"/>
        </w:numPr>
        <w:rPr>
          <w:rFonts w:cstheme="minorHAnsi"/>
        </w:rPr>
      </w:pPr>
      <w:r w:rsidRPr="00276B93">
        <w:rPr>
          <w:rFonts w:cstheme="minorHAnsi"/>
        </w:rPr>
        <w:t>Direct laryngeal injury can be a risk factor for dysphagia. It can also result in the development of respiratory distress, voice disorders, and swallowing disorders.</w:t>
      </w:r>
    </w:p>
    <w:p w14:paraId="0272CAC4" w14:textId="77777777" w:rsidR="00AF5DBD" w:rsidRPr="00276B93" w:rsidRDefault="00AF5DBD" w:rsidP="00AF5DBD">
      <w:pPr>
        <w:pStyle w:val="ListParagraph"/>
        <w:ind w:left="1440"/>
        <w:rPr>
          <w:rFonts w:cstheme="minorHAnsi"/>
        </w:rPr>
      </w:pPr>
      <w:bookmarkStart w:id="0" w:name="_GoBack"/>
      <w:bookmarkEnd w:id="0"/>
    </w:p>
    <w:p w14:paraId="69056B31" w14:textId="59E6BB09" w:rsidR="00862FE0" w:rsidRPr="00276B93" w:rsidRDefault="009F7D84" w:rsidP="00862FE0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276B93">
        <w:rPr>
          <w:rFonts w:cstheme="minorHAnsi"/>
          <w:b/>
        </w:rPr>
        <w:t xml:space="preserve">Neuromuscular </w:t>
      </w:r>
      <w:r w:rsidR="00AF5DBD">
        <w:rPr>
          <w:rFonts w:cstheme="minorHAnsi"/>
          <w:b/>
        </w:rPr>
        <w:t>W</w:t>
      </w:r>
      <w:r w:rsidRPr="00276B93">
        <w:rPr>
          <w:rFonts w:cstheme="minorHAnsi"/>
          <w:b/>
        </w:rPr>
        <w:t>eakness:</w:t>
      </w:r>
    </w:p>
    <w:p w14:paraId="0FEE1B5C" w14:textId="1B629A6C" w:rsidR="00862FE0" w:rsidRDefault="009F7D84" w:rsidP="00AF5DBD">
      <w:pPr>
        <w:pStyle w:val="ListParagraph"/>
        <w:rPr>
          <w:rFonts w:cstheme="minorHAnsi"/>
        </w:rPr>
      </w:pPr>
      <w:r w:rsidRPr="00276B93">
        <w:rPr>
          <w:rFonts w:cstheme="minorHAnsi"/>
        </w:rPr>
        <w:t>Long-term intubation may lead to neuromuscular weakness and discoordination of muscles and nerves</w:t>
      </w:r>
      <w:r>
        <w:rPr>
          <w:rFonts w:cstheme="minorHAnsi"/>
        </w:rPr>
        <w:t>, leading to impaired swallowing action.</w:t>
      </w:r>
    </w:p>
    <w:p w14:paraId="0E776B89" w14:textId="77777777" w:rsidR="00EE7040" w:rsidRDefault="00EE7040" w:rsidP="00AF5DBD">
      <w:pPr>
        <w:pStyle w:val="ListParagraph"/>
        <w:rPr>
          <w:rFonts w:cstheme="minorHAnsi"/>
        </w:rPr>
      </w:pPr>
    </w:p>
    <w:p w14:paraId="16652F9B" w14:textId="77777777" w:rsidR="00EE7040" w:rsidRDefault="00EE7040" w:rsidP="00AF5DBD">
      <w:pPr>
        <w:pStyle w:val="ListParagraph"/>
        <w:rPr>
          <w:rFonts w:cstheme="minorHAnsi"/>
        </w:rPr>
      </w:pPr>
    </w:p>
    <w:p w14:paraId="16D1863F" w14:textId="77777777" w:rsidR="00AF5DBD" w:rsidRPr="00276B93" w:rsidRDefault="00AF5DBD" w:rsidP="00AF5DBD">
      <w:pPr>
        <w:pStyle w:val="ListParagraph"/>
        <w:rPr>
          <w:rFonts w:cstheme="minorHAnsi"/>
        </w:rPr>
      </w:pPr>
    </w:p>
    <w:p w14:paraId="3C9C42C2" w14:textId="150B334F" w:rsidR="00862FE0" w:rsidRPr="00276B93" w:rsidRDefault="009F7D84" w:rsidP="00862FE0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276B93">
        <w:rPr>
          <w:rFonts w:cstheme="minorHAnsi"/>
          <w:b/>
        </w:rPr>
        <w:lastRenderedPageBreak/>
        <w:t xml:space="preserve">Gastroesophageal </w:t>
      </w:r>
      <w:r w:rsidR="00AF5DBD">
        <w:rPr>
          <w:rFonts w:cstheme="minorHAnsi"/>
          <w:b/>
        </w:rPr>
        <w:t>R</w:t>
      </w:r>
      <w:r w:rsidRPr="00276B93">
        <w:rPr>
          <w:rFonts w:cstheme="minorHAnsi"/>
          <w:b/>
        </w:rPr>
        <w:t xml:space="preserve">eflux </w:t>
      </w:r>
      <w:r w:rsidR="00AF5DBD">
        <w:rPr>
          <w:rFonts w:cstheme="minorHAnsi"/>
          <w:b/>
        </w:rPr>
        <w:t>Di</w:t>
      </w:r>
      <w:r w:rsidRPr="00276B93">
        <w:rPr>
          <w:rFonts w:cstheme="minorHAnsi"/>
          <w:b/>
        </w:rPr>
        <w:t>sease</w:t>
      </w:r>
      <w:r w:rsidR="00AF5DBD">
        <w:rPr>
          <w:rFonts w:cstheme="minorHAnsi"/>
          <w:b/>
        </w:rPr>
        <w:t xml:space="preserve"> (GERD)</w:t>
      </w:r>
      <w:r w:rsidRPr="00276B93">
        <w:rPr>
          <w:rFonts w:cstheme="minorHAnsi"/>
          <w:b/>
        </w:rPr>
        <w:t>:</w:t>
      </w:r>
    </w:p>
    <w:p w14:paraId="51B9D801" w14:textId="7AD9CC2E" w:rsidR="00862FE0" w:rsidRDefault="009F7D84" w:rsidP="00AF5DBD">
      <w:pPr>
        <w:pStyle w:val="ListParagraph"/>
        <w:rPr>
          <w:rFonts w:cstheme="minorHAnsi"/>
        </w:rPr>
      </w:pPr>
      <w:r w:rsidRPr="00276B93">
        <w:rPr>
          <w:rFonts w:cstheme="minorHAnsi"/>
        </w:rPr>
        <w:t xml:space="preserve">GERD is one of the most prevalent </w:t>
      </w:r>
      <w:r w:rsidR="00AF5DBD">
        <w:rPr>
          <w:rFonts w:cstheme="minorHAnsi"/>
        </w:rPr>
        <w:t xml:space="preserve">and chronic </w:t>
      </w:r>
      <w:r w:rsidRPr="00276B93">
        <w:rPr>
          <w:rFonts w:cstheme="minorHAnsi"/>
        </w:rPr>
        <w:t>disorders. Besides that, the nasogastric tube for nutrition, lying position, and the use of paralytic agents and sedatives in therapy increases the risk of GERD and subsequently, dysphagia.</w:t>
      </w:r>
    </w:p>
    <w:p w14:paraId="6DC69893" w14:textId="77777777" w:rsidR="00AF5DBD" w:rsidRPr="00276B93" w:rsidRDefault="00AF5DBD" w:rsidP="00AF5DBD">
      <w:pPr>
        <w:pStyle w:val="ListParagraph"/>
        <w:rPr>
          <w:rFonts w:cstheme="minorHAnsi"/>
        </w:rPr>
      </w:pPr>
    </w:p>
    <w:p w14:paraId="61A07BCC" w14:textId="32DAAEB9" w:rsidR="00862FE0" w:rsidRPr="00276B93" w:rsidRDefault="009F7D84" w:rsidP="00862FE0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276B93">
        <w:rPr>
          <w:rFonts w:cstheme="minorHAnsi"/>
          <w:b/>
        </w:rPr>
        <w:t xml:space="preserve">Increased </w:t>
      </w:r>
      <w:r w:rsidR="00A8488E">
        <w:rPr>
          <w:rFonts w:cstheme="minorHAnsi"/>
          <w:b/>
        </w:rPr>
        <w:t>C</w:t>
      </w:r>
      <w:r w:rsidRPr="00276B93">
        <w:rPr>
          <w:rFonts w:cstheme="minorHAnsi"/>
          <w:b/>
        </w:rPr>
        <w:t xml:space="preserve">ough </w:t>
      </w:r>
      <w:r w:rsidR="00A8488E">
        <w:rPr>
          <w:rFonts w:cstheme="minorHAnsi"/>
          <w:b/>
        </w:rPr>
        <w:t>R</w:t>
      </w:r>
      <w:r w:rsidRPr="00276B93">
        <w:rPr>
          <w:rFonts w:cstheme="minorHAnsi"/>
          <w:b/>
        </w:rPr>
        <w:t>eflex:</w:t>
      </w:r>
    </w:p>
    <w:p w14:paraId="64BA2E5A" w14:textId="0A6DC9E0" w:rsidR="00862FE0" w:rsidRDefault="009F7D84" w:rsidP="00A8488E">
      <w:pPr>
        <w:pStyle w:val="ListParagraph"/>
        <w:rPr>
          <w:rFonts w:cstheme="minorHAnsi"/>
        </w:rPr>
      </w:pPr>
      <w:r w:rsidRPr="00276B93">
        <w:rPr>
          <w:rFonts w:cstheme="minorHAnsi"/>
        </w:rPr>
        <w:t>Increased coughing, along with shortness of breath, can have a direct impact on swallowing, leading to dysphagia.</w:t>
      </w:r>
    </w:p>
    <w:p w14:paraId="30E6419C" w14:textId="77777777" w:rsidR="00A8488E" w:rsidRPr="00276B93" w:rsidRDefault="00A8488E" w:rsidP="00A8488E">
      <w:pPr>
        <w:pStyle w:val="ListParagraph"/>
        <w:rPr>
          <w:rFonts w:cstheme="minorHAnsi"/>
        </w:rPr>
      </w:pPr>
    </w:p>
    <w:p w14:paraId="55912C74" w14:textId="77777777" w:rsidR="00862FE0" w:rsidRPr="00276B93" w:rsidRDefault="009F7D84" w:rsidP="00862FE0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276B93">
        <w:rPr>
          <w:rFonts w:cstheme="minorHAnsi"/>
          <w:b/>
        </w:rPr>
        <w:t>Long term ICU stay:</w:t>
      </w:r>
    </w:p>
    <w:p w14:paraId="3D633E59" w14:textId="08A04B65" w:rsidR="00862FE0" w:rsidRPr="00276B93" w:rsidRDefault="009F7D84" w:rsidP="00A8488E">
      <w:pPr>
        <w:pStyle w:val="ListParagraph"/>
        <w:rPr>
          <w:rFonts w:cstheme="minorHAnsi"/>
        </w:rPr>
      </w:pPr>
      <w:r w:rsidRPr="00276B93">
        <w:rPr>
          <w:rFonts w:cstheme="minorHAnsi"/>
        </w:rPr>
        <w:t xml:space="preserve">A </w:t>
      </w:r>
      <w:r w:rsidR="00A8488E" w:rsidRPr="00276B93">
        <w:rPr>
          <w:rFonts w:cstheme="minorHAnsi"/>
        </w:rPr>
        <w:t>long-term</w:t>
      </w:r>
      <w:r w:rsidRPr="00276B93">
        <w:rPr>
          <w:rFonts w:cstheme="minorHAnsi"/>
        </w:rPr>
        <w:t xml:space="preserve"> stay in an intensive care unit </w:t>
      </w:r>
      <w:r w:rsidR="00A8488E">
        <w:rPr>
          <w:rFonts w:cstheme="minorHAnsi"/>
        </w:rPr>
        <w:t xml:space="preserve">(ICU) </w:t>
      </w:r>
      <w:r w:rsidRPr="00276B93">
        <w:rPr>
          <w:rFonts w:cstheme="minorHAnsi"/>
        </w:rPr>
        <w:t>may lead to cachexia, reduced sensitivity of upper respiratory tract, and altered sensorium secondary to the use of excessive delirious agents.</w:t>
      </w:r>
    </w:p>
    <w:p w14:paraId="235BBEDD" w14:textId="6F24212B" w:rsidR="00862FE0" w:rsidRPr="00276B93" w:rsidRDefault="009F7D84" w:rsidP="00862FE0">
      <w:pPr>
        <w:rPr>
          <w:rFonts w:cstheme="minorHAnsi"/>
        </w:rPr>
      </w:pPr>
      <w:r w:rsidRPr="00276B93">
        <w:rPr>
          <w:rFonts w:cstheme="minorHAnsi"/>
        </w:rPr>
        <w:t>However, all these consequences are either less relevant or remain unnoticed until the patient is extubated. Therefore, during</w:t>
      </w:r>
      <w:r w:rsidR="00A8488E">
        <w:rPr>
          <w:rFonts w:cstheme="minorHAnsi"/>
        </w:rPr>
        <w:t xml:space="preserve"> the</w:t>
      </w:r>
      <w:r w:rsidRPr="00276B93">
        <w:rPr>
          <w:rFonts w:cstheme="minorHAnsi"/>
        </w:rPr>
        <w:t xml:space="preserve"> in-patient stay</w:t>
      </w:r>
      <w:r w:rsidR="00A8488E">
        <w:rPr>
          <w:rFonts w:cstheme="minorHAnsi"/>
        </w:rPr>
        <w:t>,</w:t>
      </w:r>
      <w:r w:rsidRPr="00276B93">
        <w:rPr>
          <w:rFonts w:cstheme="minorHAnsi"/>
        </w:rPr>
        <w:t xml:space="preserve"> it is critical to assess the safety and efficacy of swallowing, as tracheal aspiration may lead to worse respiratory</w:t>
      </w:r>
      <w:r w:rsidR="00A8488E">
        <w:rPr>
          <w:rFonts w:cstheme="minorHAnsi"/>
        </w:rPr>
        <w:t xml:space="preserve"> outcomes</w:t>
      </w:r>
      <w:r w:rsidRPr="00276B93">
        <w:rPr>
          <w:rFonts w:cstheme="minorHAnsi"/>
        </w:rPr>
        <w:t>. The diagnostic workup includes an aspiration screening (e.g., water swallow test as implemented in the Bernese ICU Dysphagia Algorithm</w:t>
      </w:r>
      <w:r w:rsidR="009E73C7" w:rsidRPr="00276B93">
        <w:rPr>
          <w:rFonts w:cstheme="minorHAnsi"/>
        </w:rPr>
        <w:t>)</w:t>
      </w:r>
      <w:r w:rsidRPr="00276B93">
        <w:rPr>
          <w:rFonts w:cstheme="minorHAnsi"/>
        </w:rPr>
        <w:t xml:space="preserve"> and instrumental swallow assessment </w:t>
      </w:r>
      <w:r w:rsidR="00A8488E">
        <w:rPr>
          <w:rFonts w:cstheme="minorHAnsi"/>
        </w:rPr>
        <w:t>using</w:t>
      </w:r>
      <w:r w:rsidRPr="00276B93">
        <w:rPr>
          <w:rFonts w:cstheme="minorHAnsi"/>
        </w:rPr>
        <w:t xml:space="preserve"> fiberoptic endoscopic evaluation of swallowing (FEES).</w:t>
      </w:r>
    </w:p>
    <w:p w14:paraId="11B5F8A8" w14:textId="15E201FE" w:rsidR="00862FE0" w:rsidRDefault="009F7D84" w:rsidP="00862FE0">
      <w:pPr>
        <w:rPr>
          <w:rFonts w:cstheme="minorHAnsi"/>
        </w:rPr>
      </w:pPr>
      <w:r w:rsidRPr="00276B93">
        <w:rPr>
          <w:rFonts w:cstheme="minorHAnsi"/>
        </w:rPr>
        <w:t>The incidence, diagnosis, and management of dysphagia in COVID-19 patients have not been discovered. Therefore, after the initial dysphagia assessment</w:t>
      </w:r>
      <w:r w:rsidR="00A8488E">
        <w:rPr>
          <w:rFonts w:cstheme="minorHAnsi"/>
        </w:rPr>
        <w:t>,</w:t>
      </w:r>
      <w:r w:rsidRPr="00276B93">
        <w:rPr>
          <w:rFonts w:cstheme="minorHAnsi"/>
        </w:rPr>
        <w:t xml:space="preserve"> the implementation of first therapeutic interventions like dietary modifications and simple compensatory </w:t>
      </w:r>
      <w:r w:rsidR="00A8488E" w:rsidRPr="00276B93">
        <w:rPr>
          <w:rFonts w:cstheme="minorHAnsi"/>
        </w:rPr>
        <w:t>maneuvers</w:t>
      </w:r>
      <w:r w:rsidRPr="00276B93">
        <w:rPr>
          <w:rFonts w:cstheme="minorHAnsi"/>
        </w:rPr>
        <w:t xml:space="preserve"> should be made. Further interventions and more refined treatments should be decided following upcoming protocols for this novel disease.  </w:t>
      </w:r>
    </w:p>
    <w:p w14:paraId="3F4A3CE3" w14:textId="77777777" w:rsidR="00EF2B5A" w:rsidRDefault="00EF2B5A" w:rsidP="00862FE0"/>
    <w:sectPr w:rsidR="00EF2B5A" w:rsidSect="0057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DFC4" w14:textId="77777777" w:rsidR="00C7307C" w:rsidRDefault="00C7307C" w:rsidP="00EE7040">
      <w:pPr>
        <w:spacing w:after="0" w:line="240" w:lineRule="auto"/>
      </w:pPr>
      <w:r>
        <w:separator/>
      </w:r>
    </w:p>
  </w:endnote>
  <w:endnote w:type="continuationSeparator" w:id="0">
    <w:p w14:paraId="3E006E16" w14:textId="77777777" w:rsidR="00C7307C" w:rsidRDefault="00C7307C" w:rsidP="00EE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AB814" w14:textId="77777777" w:rsidR="00C7307C" w:rsidRDefault="00C7307C" w:rsidP="00EE7040">
      <w:pPr>
        <w:spacing w:after="0" w:line="240" w:lineRule="auto"/>
      </w:pPr>
      <w:r>
        <w:separator/>
      </w:r>
    </w:p>
  </w:footnote>
  <w:footnote w:type="continuationSeparator" w:id="0">
    <w:p w14:paraId="1F20C4DE" w14:textId="77777777" w:rsidR="00C7307C" w:rsidRDefault="00C7307C" w:rsidP="00EE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6AE9"/>
    <w:multiLevelType w:val="hybridMultilevel"/>
    <w:tmpl w:val="942A7E24"/>
    <w:lvl w:ilvl="0" w:tplc="797AA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C5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03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28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6A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83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C7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AC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8F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5CB4"/>
    <w:multiLevelType w:val="hybridMultilevel"/>
    <w:tmpl w:val="57FA8220"/>
    <w:lvl w:ilvl="0" w:tplc="9C70D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E3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C6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7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E3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6F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A3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44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4F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53BB0"/>
    <w:multiLevelType w:val="multilevel"/>
    <w:tmpl w:val="1EEE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D317F"/>
    <w:multiLevelType w:val="hybridMultilevel"/>
    <w:tmpl w:val="0742F1DE"/>
    <w:lvl w:ilvl="0" w:tplc="5FB8A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86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88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2F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40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45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63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AE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CD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B3D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MDU1MzUxNDU0sjBW0lEKTi0uzszPAykwqgUA6HVfmiwAAAA="/>
  </w:docVars>
  <w:rsids>
    <w:rsidRoot w:val="00EF2B5A"/>
    <w:rsid w:val="001E28DD"/>
    <w:rsid w:val="002055D4"/>
    <w:rsid w:val="00276B93"/>
    <w:rsid w:val="003B07E4"/>
    <w:rsid w:val="00572772"/>
    <w:rsid w:val="00663825"/>
    <w:rsid w:val="0067332F"/>
    <w:rsid w:val="007C1B60"/>
    <w:rsid w:val="00862FE0"/>
    <w:rsid w:val="008F0962"/>
    <w:rsid w:val="009A49FF"/>
    <w:rsid w:val="009E73C7"/>
    <w:rsid w:val="009F7D84"/>
    <w:rsid w:val="00A8488E"/>
    <w:rsid w:val="00AF5DBD"/>
    <w:rsid w:val="00BC284A"/>
    <w:rsid w:val="00BD6D68"/>
    <w:rsid w:val="00C7307C"/>
    <w:rsid w:val="00D856B6"/>
    <w:rsid w:val="00EE23AB"/>
    <w:rsid w:val="00EE7040"/>
    <w:rsid w:val="00EF2B5A"/>
    <w:rsid w:val="00F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72EB3-747B-4768-839E-2F003FF2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72"/>
  </w:style>
  <w:style w:type="paragraph" w:styleId="Heading1">
    <w:name w:val="heading 1"/>
    <w:basedOn w:val="Normal"/>
    <w:next w:val="Normal"/>
    <w:link w:val="Heading1Char"/>
    <w:uiPriority w:val="9"/>
    <w:qFormat/>
    <w:rsid w:val="00EF2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09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F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6B9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C2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E7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40"/>
  </w:style>
  <w:style w:type="paragraph" w:styleId="Footer">
    <w:name w:val="footer"/>
    <w:basedOn w:val="Normal"/>
    <w:link w:val="FooterChar"/>
    <w:uiPriority w:val="99"/>
    <w:unhideWhenUsed/>
    <w:rsid w:val="00EE7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Tooba Sabir</dc:creator>
  <cp:lastModifiedBy>Christoph Schmitz</cp:lastModifiedBy>
  <cp:revision>2</cp:revision>
  <dcterms:created xsi:type="dcterms:W3CDTF">2020-06-12T00:11:00Z</dcterms:created>
  <dcterms:modified xsi:type="dcterms:W3CDTF">2020-06-12T00:11:00Z</dcterms:modified>
</cp:coreProperties>
</file>